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13:56:53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11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4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4'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9F6741027E49484DB1FB53AB55470DBC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13:56:49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4.565mm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1.372mm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7.407mm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CDD889EA6D59F4EAC844758DBF946D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13:56:53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4.565mm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33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4.00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16.85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17.28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54.70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78.72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0.24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28.45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9F6741027E49484DB1FB53AB55470DBC" /><Relationship Type="http://schemas.openxmlformats.org/officeDocument/2006/relationships/image" Target="/media/image4.png" Id="RDCDD889EA6D59F4EAC844758DBF946D2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